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7E72F" w14:textId="77777777" w:rsidR="00CF49B9" w:rsidRDefault="00CF49B9" w:rsidP="00CF49B9">
      <w:pPr>
        <w:pStyle w:val="Ttulo2"/>
        <w:rPr>
          <w:i w:val="0"/>
        </w:rPr>
      </w:pPr>
      <w:bookmarkStart w:id="0" w:name="_Toc63251814"/>
    </w:p>
    <w:p w14:paraId="00BEDD71" w14:textId="21F7BD5A" w:rsidR="00CF49B9" w:rsidRPr="00A83EC4" w:rsidRDefault="00CF49B9" w:rsidP="00CF49B9">
      <w:pPr>
        <w:pStyle w:val="Ttulo2"/>
        <w:rPr>
          <w:i w:val="0"/>
        </w:rPr>
      </w:pPr>
      <w:r w:rsidRPr="00A83EC4">
        <w:rPr>
          <w:i w:val="0"/>
        </w:rPr>
        <w:t>ANEXO 5. FORMATO DE ASPECTOS RELEVANTES DE LA EVALUACIÓN (FARE)</w:t>
      </w:r>
      <w:bookmarkEnd w:id="0"/>
    </w:p>
    <w:p w14:paraId="3541EE86" w14:textId="77777777" w:rsidR="00CF49B9" w:rsidRDefault="00CF49B9" w:rsidP="00CF49B9">
      <w:pPr>
        <w:spacing w:after="0" w:line="240" w:lineRule="auto"/>
        <w:rPr>
          <w:rFonts w:ascii="Cambria" w:eastAsia="Cambria" w:hAnsi="Cambria" w:cs="Cambria"/>
          <w:b/>
          <w:i/>
        </w:rPr>
      </w:pPr>
    </w:p>
    <w:tbl>
      <w:tblPr>
        <w:tblStyle w:val="1"/>
        <w:tblW w:w="8941" w:type="dxa"/>
        <w:jc w:val="cente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1129"/>
        <w:gridCol w:w="1276"/>
        <w:gridCol w:w="2126"/>
        <w:gridCol w:w="1701"/>
        <w:gridCol w:w="443"/>
        <w:gridCol w:w="463"/>
        <w:gridCol w:w="1803"/>
      </w:tblGrid>
      <w:tr w:rsidR="00CF49B9" w14:paraId="5A631188" w14:textId="77777777" w:rsidTr="001422F7">
        <w:trPr>
          <w:trHeight w:val="583"/>
          <w:jc w:val="center"/>
        </w:trPr>
        <w:tc>
          <w:tcPr>
            <w:tcW w:w="2405" w:type="dxa"/>
            <w:gridSpan w:val="2"/>
            <w:shd w:val="clear" w:color="auto" w:fill="AEAAAA"/>
            <w:vAlign w:val="center"/>
          </w:tcPr>
          <w:p w14:paraId="3D68668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i/>
                <w:color w:val="FFFFFF"/>
                <w:sz w:val="16"/>
                <w:szCs w:val="16"/>
              </w:rPr>
            </w:pPr>
            <w:r>
              <w:rPr>
                <w:rFonts w:ascii="Cambria" w:eastAsia="Cambria" w:hAnsi="Cambria" w:cs="Cambria"/>
                <w:b/>
                <w:color w:val="FFFFFF"/>
                <w:sz w:val="16"/>
                <w:szCs w:val="16"/>
              </w:rPr>
              <w:t>Nombre de la evaluación:</w:t>
            </w:r>
          </w:p>
        </w:tc>
        <w:tc>
          <w:tcPr>
            <w:tcW w:w="6536" w:type="dxa"/>
            <w:gridSpan w:val="5"/>
            <w:shd w:val="clear" w:color="auto" w:fill="AEAAAA"/>
            <w:vAlign w:val="center"/>
          </w:tcPr>
          <w:p w14:paraId="6932BBFF" w14:textId="38100A1B" w:rsidR="00CF49B9" w:rsidRDefault="00E8550D" w:rsidP="001422F7">
            <w:pPr>
              <w:pBdr>
                <w:top w:val="nil"/>
                <w:left w:val="nil"/>
                <w:bottom w:val="nil"/>
                <w:right w:val="nil"/>
                <w:between w:val="nil"/>
              </w:pBdr>
              <w:spacing w:before="20" w:after="0" w:line="240" w:lineRule="auto"/>
              <w:rPr>
                <w:rFonts w:ascii="Cambria" w:eastAsia="Cambria" w:hAnsi="Cambria" w:cs="Cambria"/>
                <w:color w:val="FFFFFF"/>
                <w:sz w:val="16"/>
                <w:szCs w:val="16"/>
              </w:rPr>
            </w:pPr>
            <w:r w:rsidRPr="00E8550D">
              <w:rPr>
                <w:rFonts w:ascii="Cambria" w:eastAsia="Cambria" w:hAnsi="Cambria" w:cs="Cambria"/>
                <w:color w:val="FFFFFF"/>
                <w:sz w:val="16"/>
                <w:szCs w:val="16"/>
              </w:rPr>
              <w:t xml:space="preserve">Evaluación de Procesos del Programa </w:t>
            </w:r>
            <w:r w:rsidR="001B4A34" w:rsidRPr="001B4A34">
              <w:rPr>
                <w:rFonts w:ascii="Cambria" w:eastAsia="Cambria" w:hAnsi="Cambria" w:cs="Cambria"/>
                <w:color w:val="FFFFFF"/>
                <w:sz w:val="16"/>
                <w:szCs w:val="16"/>
              </w:rPr>
              <w:t>Beca Universal para Estudiantes de Educación Media Superior Benito Juárez</w:t>
            </w:r>
          </w:p>
        </w:tc>
      </w:tr>
      <w:tr w:rsidR="00CF49B9" w14:paraId="561909D9" w14:textId="77777777" w:rsidTr="001422F7">
        <w:trPr>
          <w:trHeight w:val="583"/>
          <w:jc w:val="center"/>
        </w:trPr>
        <w:tc>
          <w:tcPr>
            <w:tcW w:w="2405" w:type="dxa"/>
            <w:gridSpan w:val="2"/>
            <w:shd w:val="clear" w:color="auto" w:fill="auto"/>
            <w:vAlign w:val="center"/>
          </w:tcPr>
          <w:p w14:paraId="25A47D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Objetivo de la evaluación:</w:t>
            </w:r>
          </w:p>
        </w:tc>
        <w:tc>
          <w:tcPr>
            <w:tcW w:w="6536" w:type="dxa"/>
            <w:gridSpan w:val="5"/>
            <w:shd w:val="clear" w:color="auto" w:fill="auto"/>
            <w:vAlign w:val="center"/>
          </w:tcPr>
          <w:p w14:paraId="327BE550" w14:textId="6F80B0D8" w:rsidR="00CF49B9" w:rsidRDefault="00B42C5C"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sidRPr="00B42C5C">
              <w:rPr>
                <w:rFonts w:ascii="Cambria" w:eastAsia="Cambria" w:hAnsi="Cambria" w:cs="Cambria"/>
                <w:color w:val="000000"/>
                <w:sz w:val="16"/>
                <w:szCs w:val="16"/>
              </w:rPr>
              <w:t xml:space="preserve">Realizar un análisis sistemático de la gestión </w:t>
            </w:r>
            <w:r w:rsidRPr="009B2382">
              <w:rPr>
                <w:rFonts w:ascii="Cambria" w:eastAsia="Cambria" w:hAnsi="Cambria" w:cs="Cambria"/>
                <w:sz w:val="16"/>
                <w:szCs w:val="16"/>
              </w:rPr>
              <w:t xml:space="preserve">operativa </w:t>
            </w:r>
            <w:r w:rsidR="00B041D2" w:rsidRPr="009B2382">
              <w:rPr>
                <w:rFonts w:ascii="Cambria" w:eastAsia="Cambria" w:hAnsi="Cambria" w:cs="Cambria"/>
                <w:sz w:val="16"/>
                <w:szCs w:val="16"/>
              </w:rPr>
              <w:t>del</w:t>
            </w:r>
            <w:r w:rsidRPr="009B2382">
              <w:rPr>
                <w:rFonts w:ascii="Cambria" w:eastAsia="Cambria" w:hAnsi="Cambria" w:cs="Cambria"/>
                <w:sz w:val="16"/>
                <w:szCs w:val="16"/>
              </w:rPr>
              <w:t xml:space="preserve"> </w:t>
            </w:r>
            <w:r w:rsidR="0088018A" w:rsidRPr="00B601B7">
              <w:rPr>
                <w:rFonts w:ascii="Cambria" w:eastAsia="Cambria" w:hAnsi="Cambria" w:cs="Cambria"/>
                <w:sz w:val="16"/>
                <w:szCs w:val="16"/>
              </w:rPr>
              <w:t>Programa</w:t>
            </w:r>
            <w:r w:rsidR="0088018A" w:rsidRPr="005E15DD">
              <w:rPr>
                <w:rFonts w:ascii="Cambria" w:eastAsia="Cambria" w:hAnsi="Cambria" w:cs="Cambria"/>
                <w:b/>
                <w:bCs/>
                <w:sz w:val="16"/>
                <w:szCs w:val="16"/>
              </w:rPr>
              <w:t xml:space="preserve"> </w:t>
            </w:r>
            <w:r w:rsidR="00B601B7" w:rsidRPr="00B601B7">
              <w:rPr>
                <w:rFonts w:ascii="Cambria" w:eastAsia="Cambria" w:hAnsi="Cambria" w:cs="Cambria"/>
                <w:b/>
                <w:bCs/>
                <w:sz w:val="16"/>
                <w:szCs w:val="16"/>
              </w:rPr>
              <w:t>Beca Universal para Estudiantes de Educación Media Superior Benito Juárez</w:t>
            </w:r>
            <w:r w:rsidRPr="009B2382">
              <w:rPr>
                <w:rFonts w:ascii="Cambria" w:eastAsia="Cambria" w:hAnsi="Cambria" w:cs="Cambria"/>
                <w:sz w:val="16"/>
                <w:szCs w:val="16"/>
              </w:rPr>
              <w:t xml:space="preserve">, que permita valorar si dicha gestión cumple </w:t>
            </w:r>
            <w:r w:rsidRPr="00B42C5C">
              <w:rPr>
                <w:rFonts w:ascii="Cambria" w:eastAsia="Cambria" w:hAnsi="Cambria" w:cs="Cambria"/>
                <w:color w:val="000000"/>
                <w:sz w:val="16"/>
                <w:szCs w:val="16"/>
              </w:rPr>
              <w:t>con lo necesario para el logro de las metas y objetivos de</w:t>
            </w:r>
            <w:r w:rsidR="00B041D2">
              <w:rPr>
                <w:rFonts w:ascii="Cambria" w:eastAsia="Cambria" w:hAnsi="Cambria" w:cs="Cambria"/>
                <w:color w:val="000000"/>
                <w:sz w:val="16"/>
                <w:szCs w:val="16"/>
              </w:rPr>
              <w:t xml:space="preserve">l </w:t>
            </w:r>
            <w:r w:rsidR="006E6645">
              <w:rPr>
                <w:rFonts w:ascii="Cambria" w:eastAsia="Cambria" w:hAnsi="Cambria" w:cs="Cambria"/>
                <w:color w:val="000000"/>
                <w:sz w:val="16"/>
                <w:szCs w:val="16"/>
              </w:rPr>
              <w:t>Programa</w:t>
            </w:r>
            <w:r w:rsidRPr="00B42C5C">
              <w:rPr>
                <w:rFonts w:ascii="Cambria" w:eastAsia="Cambria" w:hAnsi="Cambria" w:cs="Cambria"/>
                <w:color w:val="000000"/>
                <w:sz w:val="16"/>
                <w:szCs w:val="16"/>
              </w:rPr>
              <w:t xml:space="preserve">. Así como, hacer recomendaciones que permitan la instrumentación de mejoras.  </w:t>
            </w:r>
          </w:p>
        </w:tc>
      </w:tr>
      <w:tr w:rsidR="00CF49B9" w14:paraId="54BAB56D" w14:textId="77777777" w:rsidTr="001422F7">
        <w:trPr>
          <w:trHeight w:val="583"/>
          <w:jc w:val="center"/>
        </w:trPr>
        <w:tc>
          <w:tcPr>
            <w:tcW w:w="2405" w:type="dxa"/>
            <w:gridSpan w:val="2"/>
            <w:shd w:val="clear" w:color="auto" w:fill="D9D9D9"/>
            <w:vAlign w:val="center"/>
          </w:tcPr>
          <w:p w14:paraId="199BB73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Tipo de evaluación: </w:t>
            </w:r>
          </w:p>
        </w:tc>
        <w:tc>
          <w:tcPr>
            <w:tcW w:w="3827" w:type="dxa"/>
            <w:gridSpan w:val="2"/>
            <w:shd w:val="clear" w:color="auto" w:fill="D9D9D9"/>
            <w:vAlign w:val="center"/>
          </w:tcPr>
          <w:p w14:paraId="05D10D68" w14:textId="59D526E6"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Evaluación de Procesos</w:t>
            </w:r>
          </w:p>
        </w:tc>
        <w:tc>
          <w:tcPr>
            <w:tcW w:w="906" w:type="dxa"/>
            <w:gridSpan w:val="2"/>
            <w:shd w:val="clear" w:color="auto" w:fill="D9D9D9"/>
            <w:vAlign w:val="center"/>
          </w:tcPr>
          <w:p w14:paraId="3FFC006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PAE: </w:t>
            </w:r>
          </w:p>
        </w:tc>
        <w:tc>
          <w:tcPr>
            <w:tcW w:w="1803" w:type="dxa"/>
            <w:shd w:val="clear" w:color="auto" w:fill="D9D9D9"/>
            <w:vAlign w:val="center"/>
          </w:tcPr>
          <w:p w14:paraId="41A792E2" w14:textId="7111873A"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2022</w:t>
            </w:r>
          </w:p>
        </w:tc>
      </w:tr>
      <w:tr w:rsidR="00CF49B9" w14:paraId="6431FB71" w14:textId="77777777" w:rsidTr="001422F7">
        <w:trPr>
          <w:trHeight w:val="583"/>
          <w:jc w:val="center"/>
        </w:trPr>
        <w:tc>
          <w:tcPr>
            <w:tcW w:w="1129" w:type="dxa"/>
            <w:shd w:val="clear" w:color="auto" w:fill="auto"/>
            <w:vAlign w:val="center"/>
          </w:tcPr>
          <w:p w14:paraId="19CF01D3" w14:textId="77777777" w:rsidR="00CF49B9" w:rsidRPr="00C16422" w:rsidRDefault="00CF49B9" w:rsidP="001422F7">
            <w:pPr>
              <w:pBdr>
                <w:top w:val="nil"/>
                <w:left w:val="nil"/>
                <w:bottom w:val="nil"/>
                <w:right w:val="nil"/>
                <w:between w:val="nil"/>
              </w:pBdr>
              <w:spacing w:after="0" w:line="240" w:lineRule="auto"/>
              <w:rPr>
                <w:rFonts w:ascii="Cambria" w:eastAsia="Cambria" w:hAnsi="Cambria" w:cs="Cambria"/>
                <w:b/>
                <w:sz w:val="16"/>
                <w:szCs w:val="16"/>
              </w:rPr>
            </w:pPr>
            <w:r w:rsidRPr="00C16422">
              <w:rPr>
                <w:rFonts w:ascii="Cambria" w:eastAsia="Cambria" w:hAnsi="Cambria" w:cs="Cambria"/>
                <w:b/>
                <w:sz w:val="16"/>
                <w:szCs w:val="16"/>
              </w:rPr>
              <w:t>Ramo:</w:t>
            </w:r>
          </w:p>
        </w:tc>
        <w:tc>
          <w:tcPr>
            <w:tcW w:w="7812" w:type="dxa"/>
            <w:gridSpan w:val="6"/>
            <w:shd w:val="clear" w:color="auto" w:fill="auto"/>
            <w:vAlign w:val="center"/>
          </w:tcPr>
          <w:p w14:paraId="3585AC5B" w14:textId="27C1B6E7" w:rsidR="00CF49B9" w:rsidRPr="00C16422" w:rsidRDefault="00532438" w:rsidP="001422F7">
            <w:pPr>
              <w:pBdr>
                <w:top w:val="nil"/>
                <w:left w:val="nil"/>
                <w:bottom w:val="nil"/>
                <w:right w:val="nil"/>
                <w:between w:val="nil"/>
              </w:pBdr>
              <w:spacing w:before="120" w:after="120" w:line="240" w:lineRule="auto"/>
              <w:rPr>
                <w:rFonts w:ascii="Cambria" w:eastAsia="Cambria" w:hAnsi="Cambria" w:cs="Cambria"/>
                <w:sz w:val="16"/>
                <w:szCs w:val="16"/>
              </w:rPr>
            </w:pPr>
            <w:r>
              <w:rPr>
                <w:rFonts w:ascii="Cambria" w:eastAsia="Cambria" w:hAnsi="Cambria" w:cs="Cambria"/>
                <w:sz w:val="16"/>
                <w:szCs w:val="16"/>
              </w:rPr>
              <w:t>11</w:t>
            </w:r>
            <w:r w:rsidR="00B041D2" w:rsidRPr="00C16422">
              <w:rPr>
                <w:rFonts w:ascii="Cambria" w:eastAsia="Cambria" w:hAnsi="Cambria" w:cs="Cambria"/>
                <w:sz w:val="16"/>
                <w:szCs w:val="16"/>
              </w:rPr>
              <w:t xml:space="preserve"> </w:t>
            </w:r>
            <w:proofErr w:type="gramStart"/>
            <w:r>
              <w:rPr>
                <w:rFonts w:ascii="Cambria" w:eastAsia="Cambria" w:hAnsi="Cambria" w:cs="Cambria"/>
                <w:sz w:val="16"/>
                <w:szCs w:val="16"/>
              </w:rPr>
              <w:t>Educación</w:t>
            </w:r>
            <w:proofErr w:type="gramEnd"/>
            <w:r w:rsidR="005E15DD">
              <w:rPr>
                <w:rFonts w:ascii="Cambria" w:eastAsia="Cambria" w:hAnsi="Cambria" w:cs="Cambria"/>
                <w:sz w:val="16"/>
                <w:szCs w:val="16"/>
              </w:rPr>
              <w:t xml:space="preserve"> Pública</w:t>
            </w:r>
          </w:p>
        </w:tc>
      </w:tr>
      <w:tr w:rsidR="00CF49B9" w14:paraId="027B0C2A" w14:textId="77777777" w:rsidTr="001422F7">
        <w:trPr>
          <w:trHeight w:val="583"/>
          <w:jc w:val="center"/>
        </w:trPr>
        <w:tc>
          <w:tcPr>
            <w:tcW w:w="1129" w:type="dxa"/>
            <w:shd w:val="clear" w:color="auto" w:fill="E7E6E6"/>
            <w:vAlign w:val="center"/>
          </w:tcPr>
          <w:p w14:paraId="6C881C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Modalidad y Clave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1276" w:type="dxa"/>
            <w:shd w:val="clear" w:color="auto" w:fill="E7E6E6"/>
            <w:vAlign w:val="center"/>
          </w:tcPr>
          <w:p w14:paraId="3CC6D7BE" w14:textId="33E8A951"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S</w:t>
            </w:r>
            <w:r w:rsidR="00B601B7">
              <w:rPr>
                <w:rFonts w:ascii="Cambria" w:eastAsia="Cambria" w:hAnsi="Cambria" w:cs="Cambria"/>
                <w:color w:val="000000"/>
                <w:sz w:val="16"/>
                <w:szCs w:val="16"/>
              </w:rPr>
              <w:t>311</w:t>
            </w:r>
          </w:p>
        </w:tc>
        <w:tc>
          <w:tcPr>
            <w:tcW w:w="2126" w:type="dxa"/>
            <w:shd w:val="clear" w:color="auto" w:fill="E7E6E6"/>
            <w:vAlign w:val="center"/>
          </w:tcPr>
          <w:p w14:paraId="334F6F10"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4410" w:type="dxa"/>
            <w:gridSpan w:val="4"/>
            <w:shd w:val="clear" w:color="auto" w:fill="E7E6E6"/>
            <w:vAlign w:val="center"/>
          </w:tcPr>
          <w:p w14:paraId="709796A4" w14:textId="1F9C6540" w:rsidR="00CF49B9" w:rsidRDefault="00B601B7" w:rsidP="001422F7">
            <w:pPr>
              <w:pBdr>
                <w:top w:val="nil"/>
                <w:left w:val="nil"/>
                <w:bottom w:val="nil"/>
                <w:right w:val="nil"/>
                <w:between w:val="nil"/>
              </w:pBdr>
              <w:spacing w:before="20" w:after="0" w:line="240" w:lineRule="auto"/>
              <w:rPr>
                <w:rFonts w:ascii="Cambria" w:eastAsia="Cambria" w:hAnsi="Cambria" w:cs="Cambria"/>
                <w:i/>
                <w:color w:val="000000"/>
                <w:sz w:val="16"/>
                <w:szCs w:val="16"/>
              </w:rPr>
            </w:pPr>
            <w:r w:rsidRPr="00B601B7">
              <w:rPr>
                <w:rFonts w:ascii="Cambria" w:eastAsia="Cambria" w:hAnsi="Cambria" w:cs="Cambria"/>
                <w:color w:val="000000"/>
                <w:sz w:val="16"/>
                <w:szCs w:val="16"/>
              </w:rPr>
              <w:t>Beca Universal para Estudiantes de Educación Media Superior Benito Juárez</w:t>
            </w:r>
          </w:p>
        </w:tc>
      </w:tr>
      <w:tr w:rsidR="00CF49B9" w14:paraId="18F56C4E" w14:textId="77777777" w:rsidTr="001422F7">
        <w:trPr>
          <w:trHeight w:val="583"/>
          <w:jc w:val="center"/>
        </w:trPr>
        <w:tc>
          <w:tcPr>
            <w:tcW w:w="2405" w:type="dxa"/>
            <w:gridSpan w:val="2"/>
            <w:shd w:val="clear" w:color="auto" w:fill="auto"/>
            <w:vAlign w:val="center"/>
          </w:tcPr>
          <w:p w14:paraId="458E6107" w14:textId="77777777" w:rsidR="00CF49B9" w:rsidRPr="00C16422" w:rsidRDefault="00CF49B9" w:rsidP="001422F7">
            <w:pPr>
              <w:pBdr>
                <w:top w:val="nil"/>
                <w:left w:val="nil"/>
                <w:bottom w:val="nil"/>
                <w:right w:val="nil"/>
                <w:between w:val="nil"/>
              </w:pBdr>
              <w:spacing w:before="20" w:after="0" w:line="240" w:lineRule="auto"/>
              <w:rPr>
                <w:rFonts w:ascii="Cambria" w:eastAsia="Cambria" w:hAnsi="Cambria" w:cs="Cambria"/>
                <w:b/>
                <w:sz w:val="16"/>
                <w:szCs w:val="16"/>
              </w:rPr>
            </w:pPr>
            <w:r w:rsidRPr="00C16422">
              <w:rPr>
                <w:rFonts w:ascii="Cambria" w:eastAsia="Cambria" w:hAnsi="Cambria" w:cs="Cambria"/>
                <w:b/>
                <w:sz w:val="16"/>
                <w:szCs w:val="16"/>
              </w:rPr>
              <w:t>Unidad Responsable (UR):</w:t>
            </w:r>
          </w:p>
        </w:tc>
        <w:tc>
          <w:tcPr>
            <w:tcW w:w="6536" w:type="dxa"/>
            <w:gridSpan w:val="5"/>
            <w:shd w:val="clear" w:color="auto" w:fill="auto"/>
            <w:vAlign w:val="center"/>
          </w:tcPr>
          <w:p w14:paraId="022D251D" w14:textId="30EE0880" w:rsidR="00CF49B9" w:rsidRPr="00C16422" w:rsidRDefault="00B81ADE" w:rsidP="001422F7">
            <w:pPr>
              <w:pBdr>
                <w:top w:val="nil"/>
                <w:left w:val="nil"/>
                <w:bottom w:val="nil"/>
                <w:right w:val="nil"/>
                <w:between w:val="nil"/>
              </w:pBdr>
              <w:spacing w:before="20" w:after="0" w:line="240" w:lineRule="auto"/>
              <w:rPr>
                <w:rFonts w:ascii="Cambria" w:eastAsia="Cambria" w:hAnsi="Cambria" w:cs="Cambria"/>
                <w:sz w:val="16"/>
                <w:szCs w:val="16"/>
                <w:highlight w:val="yellow"/>
              </w:rPr>
            </w:pPr>
            <w:r w:rsidRPr="00B81ADE">
              <w:rPr>
                <w:rFonts w:ascii="Cambria" w:eastAsia="Cambria" w:hAnsi="Cambria" w:cs="Cambria"/>
                <w:sz w:val="16"/>
                <w:szCs w:val="16"/>
              </w:rPr>
              <w:t>Coordinación Nacional de Becas para el Bienestar Benito Juárez (CNBBBJ)</w:t>
            </w:r>
          </w:p>
        </w:tc>
      </w:tr>
      <w:tr w:rsidR="00CF49B9" w14:paraId="6E149FBC" w14:textId="77777777" w:rsidTr="001422F7">
        <w:trPr>
          <w:trHeight w:val="583"/>
          <w:jc w:val="center"/>
        </w:trPr>
        <w:tc>
          <w:tcPr>
            <w:tcW w:w="2405" w:type="dxa"/>
            <w:gridSpan w:val="2"/>
            <w:shd w:val="clear" w:color="auto" w:fill="auto"/>
            <w:vAlign w:val="center"/>
          </w:tcPr>
          <w:p w14:paraId="1A48AA9B" w14:textId="77777777" w:rsidR="00CF49B9" w:rsidRPr="00B23A0A"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sidRPr="00B23A0A">
              <w:rPr>
                <w:rFonts w:ascii="Cambria" w:eastAsia="Cambria" w:hAnsi="Cambria" w:cs="Cambria"/>
                <w:b/>
                <w:color w:val="000000"/>
                <w:sz w:val="16"/>
                <w:szCs w:val="16"/>
              </w:rPr>
              <w:t xml:space="preserve">Área de Evaluación de la dependencia (AE):  </w:t>
            </w:r>
          </w:p>
        </w:tc>
        <w:tc>
          <w:tcPr>
            <w:tcW w:w="6536" w:type="dxa"/>
            <w:gridSpan w:val="5"/>
            <w:shd w:val="clear" w:color="auto" w:fill="auto"/>
            <w:vAlign w:val="center"/>
          </w:tcPr>
          <w:p w14:paraId="70C5C49D" w14:textId="4DF95ABF" w:rsidR="00CF49B9" w:rsidRPr="00B23A0A" w:rsidRDefault="00B81ADE" w:rsidP="00770106">
            <w:pPr>
              <w:pBdr>
                <w:top w:val="nil"/>
                <w:left w:val="nil"/>
                <w:bottom w:val="nil"/>
                <w:right w:val="nil"/>
                <w:between w:val="nil"/>
              </w:pBdr>
              <w:spacing w:before="20" w:after="0" w:line="240" w:lineRule="auto"/>
              <w:rPr>
                <w:rFonts w:ascii="Cambria" w:eastAsia="Cambria" w:hAnsi="Cambria" w:cs="Cambria"/>
                <w:color w:val="000000"/>
                <w:sz w:val="16"/>
                <w:szCs w:val="16"/>
              </w:rPr>
            </w:pPr>
            <w:r w:rsidRPr="00B81ADE">
              <w:rPr>
                <w:rFonts w:ascii="Cambria" w:eastAsia="Cambria" w:hAnsi="Cambria" w:cs="Cambria"/>
                <w:color w:val="000000"/>
                <w:sz w:val="16"/>
                <w:szCs w:val="16"/>
              </w:rPr>
              <w:t>Dirección General de Planeación, Análisis, Evaluación y Monitoreo</w:t>
            </w:r>
            <w:r>
              <w:rPr>
                <w:rFonts w:ascii="Cambria" w:eastAsia="Cambria" w:hAnsi="Cambria" w:cs="Cambria"/>
                <w:color w:val="000000"/>
                <w:sz w:val="16"/>
                <w:szCs w:val="16"/>
              </w:rPr>
              <w:t xml:space="preserve"> (</w:t>
            </w:r>
            <w:r w:rsidRPr="00B81ADE">
              <w:rPr>
                <w:rFonts w:ascii="Cambria" w:eastAsia="Cambria" w:hAnsi="Cambria" w:cs="Cambria"/>
                <w:color w:val="000000"/>
                <w:sz w:val="16"/>
                <w:szCs w:val="16"/>
              </w:rPr>
              <w:t>DGPAEM</w:t>
            </w:r>
            <w:r>
              <w:rPr>
                <w:rFonts w:ascii="Cambria" w:eastAsia="Cambria" w:hAnsi="Cambria" w:cs="Cambria"/>
                <w:color w:val="000000"/>
                <w:sz w:val="16"/>
                <w:szCs w:val="16"/>
              </w:rPr>
              <w:t>)</w:t>
            </w:r>
          </w:p>
        </w:tc>
      </w:tr>
      <w:tr w:rsidR="00CF49B9" w14:paraId="02685FF9" w14:textId="77777777" w:rsidTr="001422F7">
        <w:trPr>
          <w:trHeight w:val="317"/>
          <w:jc w:val="center"/>
        </w:trPr>
        <w:tc>
          <w:tcPr>
            <w:tcW w:w="2405" w:type="dxa"/>
            <w:gridSpan w:val="2"/>
            <w:vMerge w:val="restart"/>
            <w:shd w:val="clear" w:color="auto" w:fill="E7E6E6"/>
            <w:vAlign w:val="center"/>
          </w:tcPr>
          <w:p w14:paraId="2840F44C"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Instancia Evaluadora (IE): </w:t>
            </w:r>
          </w:p>
        </w:tc>
        <w:tc>
          <w:tcPr>
            <w:tcW w:w="2126" w:type="dxa"/>
            <w:shd w:val="clear" w:color="auto" w:fill="E7E6E6"/>
            <w:vAlign w:val="center"/>
          </w:tcPr>
          <w:p w14:paraId="5EE8CAF8"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
        </w:tc>
        <w:tc>
          <w:tcPr>
            <w:tcW w:w="4410" w:type="dxa"/>
            <w:gridSpan w:val="4"/>
            <w:shd w:val="clear" w:color="auto" w:fill="E7E6E6"/>
            <w:vAlign w:val="center"/>
          </w:tcPr>
          <w:p w14:paraId="23BF7140" w14:textId="68093421" w:rsidR="00CF49B9" w:rsidRDefault="00547A90" w:rsidP="001422F7">
            <w:pPr>
              <w:pBdr>
                <w:top w:val="nil"/>
                <w:left w:val="nil"/>
                <w:bottom w:val="nil"/>
                <w:right w:val="nil"/>
                <w:between w:val="nil"/>
              </w:pBdr>
              <w:spacing w:after="0" w:line="240" w:lineRule="auto"/>
              <w:rPr>
                <w:rFonts w:ascii="Soberana Sans" w:eastAsia="Soberana Sans" w:hAnsi="Soberana Sans" w:cs="Soberana Sans"/>
                <w:color w:val="000000"/>
                <w:sz w:val="12"/>
                <w:szCs w:val="12"/>
              </w:rPr>
            </w:pPr>
            <w:r w:rsidRPr="00547A90">
              <w:rPr>
                <w:rFonts w:ascii="Cambria" w:eastAsia="Cambria" w:hAnsi="Cambria" w:cs="Cambria"/>
                <w:color w:val="000000"/>
                <w:sz w:val="16"/>
                <w:szCs w:val="16"/>
              </w:rPr>
              <w:t>COCOA Services S.C.</w:t>
            </w:r>
          </w:p>
        </w:tc>
      </w:tr>
      <w:tr w:rsidR="00CF49B9" w14:paraId="339EC670" w14:textId="77777777" w:rsidTr="001422F7">
        <w:trPr>
          <w:trHeight w:val="293"/>
          <w:jc w:val="center"/>
        </w:trPr>
        <w:tc>
          <w:tcPr>
            <w:tcW w:w="2405" w:type="dxa"/>
            <w:gridSpan w:val="2"/>
            <w:vMerge/>
            <w:shd w:val="clear" w:color="auto" w:fill="E7E6E6"/>
            <w:vAlign w:val="center"/>
          </w:tcPr>
          <w:p w14:paraId="79367E03" w14:textId="77777777" w:rsidR="00CF49B9" w:rsidRDefault="00CF49B9" w:rsidP="001422F7">
            <w:pPr>
              <w:widowControl w:val="0"/>
              <w:pBdr>
                <w:top w:val="nil"/>
                <w:left w:val="nil"/>
                <w:bottom w:val="nil"/>
                <w:right w:val="nil"/>
                <w:between w:val="nil"/>
              </w:pBdr>
              <w:spacing w:after="0"/>
              <w:rPr>
                <w:rFonts w:ascii="Soberana Sans" w:eastAsia="Soberana Sans" w:hAnsi="Soberana Sans" w:cs="Soberana Sans"/>
                <w:color w:val="000000"/>
                <w:sz w:val="12"/>
                <w:szCs w:val="12"/>
              </w:rPr>
            </w:pPr>
          </w:p>
        </w:tc>
        <w:tc>
          <w:tcPr>
            <w:tcW w:w="2126" w:type="dxa"/>
            <w:shd w:val="clear" w:color="auto" w:fill="E7E6E6"/>
            <w:vAlign w:val="center"/>
          </w:tcPr>
          <w:p w14:paraId="3A8D3FE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Coordinador(a):</w:t>
            </w:r>
          </w:p>
        </w:tc>
        <w:tc>
          <w:tcPr>
            <w:tcW w:w="4410" w:type="dxa"/>
            <w:gridSpan w:val="4"/>
            <w:shd w:val="clear" w:color="auto" w:fill="E7E6E6"/>
            <w:vAlign w:val="center"/>
          </w:tcPr>
          <w:p w14:paraId="57D8CF8A" w14:textId="2DE56297" w:rsidR="00CF49B9" w:rsidRPr="000A3C98" w:rsidRDefault="00547A90" w:rsidP="001422F7">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Jimena Hernández Fernández</w:t>
            </w:r>
          </w:p>
        </w:tc>
      </w:tr>
      <w:tr w:rsidR="00CF49B9" w14:paraId="4BEB9A2E" w14:textId="77777777" w:rsidTr="001422F7">
        <w:trPr>
          <w:trHeight w:val="397"/>
          <w:jc w:val="center"/>
        </w:trPr>
        <w:tc>
          <w:tcPr>
            <w:tcW w:w="2405" w:type="dxa"/>
            <w:gridSpan w:val="2"/>
            <w:vMerge/>
            <w:shd w:val="clear" w:color="auto" w:fill="E7E6E6"/>
            <w:vAlign w:val="center"/>
          </w:tcPr>
          <w:p w14:paraId="6D2F8057" w14:textId="77777777" w:rsidR="00CF49B9" w:rsidRDefault="00CF49B9" w:rsidP="001422F7">
            <w:pPr>
              <w:widowControl w:val="0"/>
              <w:pBdr>
                <w:top w:val="nil"/>
                <w:left w:val="nil"/>
                <w:bottom w:val="nil"/>
                <w:right w:val="nil"/>
                <w:between w:val="nil"/>
              </w:pBdr>
              <w:spacing w:after="0"/>
              <w:rPr>
                <w:rFonts w:ascii="Cambria" w:eastAsia="Cambria" w:hAnsi="Cambria" w:cs="Cambria"/>
                <w:color w:val="000000"/>
                <w:sz w:val="16"/>
                <w:szCs w:val="16"/>
              </w:rPr>
            </w:pPr>
          </w:p>
        </w:tc>
        <w:tc>
          <w:tcPr>
            <w:tcW w:w="2126" w:type="dxa"/>
            <w:shd w:val="clear" w:color="auto" w:fill="E7E6E6"/>
            <w:vAlign w:val="center"/>
          </w:tcPr>
          <w:p w14:paraId="525B78A6"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Colaboradores(as):</w:t>
            </w:r>
          </w:p>
        </w:tc>
        <w:tc>
          <w:tcPr>
            <w:tcW w:w="4410" w:type="dxa"/>
            <w:gridSpan w:val="4"/>
            <w:shd w:val="clear" w:color="auto" w:fill="E7E6E6"/>
            <w:vAlign w:val="center"/>
          </w:tcPr>
          <w:p w14:paraId="06ADBA2B"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Cáceres Castrillón, Germán Paul</w:t>
            </w:r>
          </w:p>
          <w:p w14:paraId="51CBB213"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Franco Vasco, Diana María</w:t>
            </w:r>
          </w:p>
          <w:p w14:paraId="0E7B746C"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 xml:space="preserve">Hernández Fernández, Jimena </w:t>
            </w:r>
          </w:p>
          <w:p w14:paraId="312E0DD4"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Herrera Bautista, María del Carmen</w:t>
            </w:r>
          </w:p>
          <w:p w14:paraId="4ED55981"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Razo Pérez, Ana Elizabeth</w:t>
            </w:r>
          </w:p>
          <w:p w14:paraId="69D77B62"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Romero Pérez-Grovas, Carolina</w:t>
            </w:r>
          </w:p>
          <w:p w14:paraId="0AA5506C"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Asesora: Claudia Mir Cervantes</w:t>
            </w:r>
          </w:p>
          <w:p w14:paraId="1A3059A4" w14:textId="030AEF58" w:rsidR="00CF49B9" w:rsidRPr="000A3C98"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Asistentes de investigación: Jorge Luis González Cruz y Mónica Torres Valencia.</w:t>
            </w:r>
          </w:p>
        </w:tc>
      </w:tr>
      <w:tr w:rsidR="00CF49B9" w14:paraId="3A9D2D4E" w14:textId="77777777" w:rsidTr="001422F7">
        <w:trPr>
          <w:trHeight w:val="583"/>
          <w:jc w:val="center"/>
        </w:trPr>
        <w:tc>
          <w:tcPr>
            <w:tcW w:w="2405" w:type="dxa"/>
            <w:gridSpan w:val="2"/>
            <w:shd w:val="clear" w:color="auto" w:fill="auto"/>
            <w:vAlign w:val="center"/>
          </w:tcPr>
          <w:p w14:paraId="2886B9FE"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Procedimiento de contratación:</w:t>
            </w:r>
          </w:p>
        </w:tc>
        <w:tc>
          <w:tcPr>
            <w:tcW w:w="2126" w:type="dxa"/>
            <w:shd w:val="clear" w:color="auto" w:fill="auto"/>
            <w:vAlign w:val="center"/>
          </w:tcPr>
          <w:p w14:paraId="539A1299" w14:textId="4545C10B"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Licitación Pública Nacional</w:t>
            </w:r>
            <w:r w:rsidR="000A3C98">
              <w:rPr>
                <w:rFonts w:ascii="Cambria" w:eastAsia="Cambria" w:hAnsi="Cambria" w:cs="Cambria"/>
                <w:color w:val="000000"/>
                <w:sz w:val="16"/>
                <w:szCs w:val="16"/>
              </w:rPr>
              <w:t xml:space="preserve"> Electrónica</w:t>
            </w:r>
          </w:p>
        </w:tc>
        <w:tc>
          <w:tcPr>
            <w:tcW w:w="2144" w:type="dxa"/>
            <w:gridSpan w:val="2"/>
            <w:shd w:val="clear" w:color="auto" w:fill="auto"/>
            <w:vAlign w:val="center"/>
          </w:tcPr>
          <w:p w14:paraId="58C862CE"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Costo de la evaluación:</w:t>
            </w:r>
          </w:p>
        </w:tc>
        <w:tc>
          <w:tcPr>
            <w:tcW w:w="2266" w:type="dxa"/>
            <w:gridSpan w:val="2"/>
            <w:shd w:val="clear" w:color="auto" w:fill="auto"/>
            <w:vAlign w:val="center"/>
          </w:tcPr>
          <w:p w14:paraId="55EF8811" w14:textId="44F8B766" w:rsidR="00B42149" w:rsidRDefault="00B42149" w:rsidP="00B42149">
            <w:pPr>
              <w:pBdr>
                <w:top w:val="nil"/>
                <w:left w:val="nil"/>
                <w:bottom w:val="nil"/>
                <w:right w:val="nil"/>
                <w:between w:val="nil"/>
              </w:pBdr>
              <w:spacing w:after="0" w:line="240" w:lineRule="auto"/>
              <w:rPr>
                <w:rFonts w:ascii="Cambria" w:eastAsia="Cambria" w:hAnsi="Cambria" w:cs="Cambria"/>
                <w:color w:val="000000"/>
                <w:sz w:val="16"/>
                <w:szCs w:val="16"/>
              </w:rPr>
            </w:pPr>
            <w:r w:rsidRPr="00B42149">
              <w:rPr>
                <w:rFonts w:ascii="Cambria" w:eastAsia="Cambria" w:hAnsi="Cambria" w:cs="Cambria"/>
                <w:color w:val="000000"/>
                <w:sz w:val="16"/>
                <w:szCs w:val="16"/>
              </w:rPr>
              <w:t>$2,871,000.00 (</w:t>
            </w:r>
            <w:r w:rsidR="005B5FC2" w:rsidRPr="00B42149">
              <w:rPr>
                <w:rFonts w:ascii="Cambria" w:eastAsia="Cambria" w:hAnsi="Cambria" w:cs="Cambria"/>
                <w:color w:val="000000"/>
                <w:sz w:val="16"/>
                <w:szCs w:val="16"/>
              </w:rPr>
              <w:t>DOS MILLONES OCHOCIENTOS SETENTA Y UN MIL PESOS</w:t>
            </w:r>
            <w:r w:rsidR="005B5FC2">
              <w:rPr>
                <w:rFonts w:ascii="Cambria" w:eastAsia="Cambria" w:hAnsi="Cambria" w:cs="Cambria"/>
                <w:color w:val="000000"/>
                <w:sz w:val="16"/>
                <w:szCs w:val="16"/>
              </w:rPr>
              <w:t xml:space="preserve"> </w:t>
            </w:r>
            <w:r w:rsidRPr="00B42149">
              <w:rPr>
                <w:rFonts w:ascii="Cambria" w:eastAsia="Cambria" w:hAnsi="Cambria" w:cs="Cambria"/>
                <w:color w:val="000000"/>
                <w:sz w:val="16"/>
                <w:szCs w:val="16"/>
              </w:rPr>
              <w:t>00/100 M.N.) cantidad que incluye el Impuesto al Valor Agregado.</w:t>
            </w:r>
          </w:p>
          <w:p w14:paraId="1A834FE8" w14:textId="6B468E76" w:rsidR="007954FF" w:rsidRDefault="007954FF" w:rsidP="00B42149">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Costo total del proyecto “</w:t>
            </w:r>
            <w:r w:rsidR="00B42149" w:rsidRPr="00B42149">
              <w:rPr>
                <w:rFonts w:ascii="Cambria" w:eastAsia="Cambria" w:hAnsi="Cambria" w:cs="Cambria"/>
                <w:color w:val="000000"/>
                <w:sz w:val="16"/>
                <w:szCs w:val="16"/>
              </w:rPr>
              <w:t>Evaluación de procesos a tres programas prioritarios de becas educativas</w:t>
            </w:r>
            <w:r>
              <w:rPr>
                <w:rFonts w:ascii="Cambria" w:eastAsia="Cambria" w:hAnsi="Cambria" w:cs="Cambria"/>
                <w:color w:val="000000"/>
                <w:sz w:val="16"/>
                <w:szCs w:val="16"/>
              </w:rPr>
              <w:t>”, dentro del cual se realizó esta evaluación.</w:t>
            </w:r>
          </w:p>
        </w:tc>
      </w:tr>
      <w:tr w:rsidR="00CF49B9" w14:paraId="7BB3E56C" w14:textId="77777777" w:rsidTr="001422F7">
        <w:trPr>
          <w:trHeight w:val="583"/>
          <w:jc w:val="center"/>
        </w:trPr>
        <w:tc>
          <w:tcPr>
            <w:tcW w:w="2405" w:type="dxa"/>
            <w:gridSpan w:val="2"/>
            <w:shd w:val="clear" w:color="auto" w:fill="auto"/>
            <w:vAlign w:val="center"/>
          </w:tcPr>
          <w:p w14:paraId="3ADFE1C1"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Tipo de contratación:</w:t>
            </w:r>
          </w:p>
        </w:tc>
        <w:tc>
          <w:tcPr>
            <w:tcW w:w="2126" w:type="dxa"/>
            <w:shd w:val="clear" w:color="auto" w:fill="auto"/>
            <w:vAlign w:val="center"/>
          </w:tcPr>
          <w:p w14:paraId="39E4697A" w14:textId="00FE80FE" w:rsidR="00CF49B9" w:rsidRDefault="000A3C98"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Individual</w:t>
            </w:r>
          </w:p>
        </w:tc>
        <w:tc>
          <w:tcPr>
            <w:tcW w:w="2144" w:type="dxa"/>
            <w:gridSpan w:val="2"/>
            <w:shd w:val="clear" w:color="auto" w:fill="auto"/>
            <w:vAlign w:val="center"/>
          </w:tcPr>
          <w:p w14:paraId="0AAF4849"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Fuente de financiamiento:</w:t>
            </w:r>
          </w:p>
        </w:tc>
        <w:tc>
          <w:tcPr>
            <w:tcW w:w="2266" w:type="dxa"/>
            <w:gridSpan w:val="2"/>
            <w:shd w:val="clear" w:color="auto" w:fill="auto"/>
            <w:vAlign w:val="center"/>
          </w:tcPr>
          <w:p w14:paraId="235F59D0" w14:textId="77777777" w:rsidR="000A3C98" w:rsidRDefault="000A3C98"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 xml:space="preserve">Recursos federales </w:t>
            </w:r>
          </w:p>
          <w:p w14:paraId="0174DFA1" w14:textId="38FB7FB7"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7954FF">
              <w:rPr>
                <w:rFonts w:ascii="Cambria" w:eastAsia="Cambria" w:hAnsi="Cambria" w:cs="Cambria"/>
                <w:color w:val="000000"/>
                <w:sz w:val="16"/>
                <w:szCs w:val="16"/>
              </w:rPr>
              <w:t>Partida presupuestal 33501 “Estudios e investigaciones”</w:t>
            </w:r>
          </w:p>
        </w:tc>
      </w:tr>
      <w:tr w:rsidR="00CF49B9" w14:paraId="007C6984" w14:textId="77777777" w:rsidTr="001422F7">
        <w:trPr>
          <w:trHeight w:val="583"/>
          <w:jc w:val="center"/>
        </w:trPr>
        <w:tc>
          <w:tcPr>
            <w:tcW w:w="2405" w:type="dxa"/>
            <w:gridSpan w:val="2"/>
            <w:shd w:val="clear" w:color="auto" w:fill="D9D9D9"/>
            <w:vAlign w:val="center"/>
          </w:tcPr>
          <w:p w14:paraId="3F755A7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Instancia de coordinación de la evaluación:</w:t>
            </w:r>
          </w:p>
        </w:tc>
        <w:tc>
          <w:tcPr>
            <w:tcW w:w="6536" w:type="dxa"/>
            <w:gridSpan w:val="5"/>
            <w:shd w:val="clear" w:color="auto" w:fill="D9D9D9"/>
            <w:vAlign w:val="center"/>
          </w:tcPr>
          <w:p w14:paraId="141B9053" w14:textId="152DE639"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Consejo Nacional de Evaluación de la Política de Desarrollo Social (CONEVAL)</w:t>
            </w:r>
          </w:p>
        </w:tc>
      </w:tr>
    </w:tbl>
    <w:p w14:paraId="3FE8AA9F" w14:textId="77777777" w:rsidR="00CF49B9" w:rsidRDefault="00CF49B9" w:rsidP="00CF49B9">
      <w:pPr>
        <w:jc w:val="both"/>
        <w:rPr>
          <w:rFonts w:ascii="Cambria" w:eastAsia="Cambria" w:hAnsi="Cambria" w:cs="Cambria"/>
        </w:rPr>
      </w:pPr>
    </w:p>
    <w:p w14:paraId="5BE65C0B" w14:textId="0D33803C" w:rsidR="00CF49B9" w:rsidRDefault="00CF49B9" w:rsidP="00CF49B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Descripción del Programa</w:t>
      </w:r>
      <w:r w:rsidR="000A3C98">
        <w:rPr>
          <w:rFonts w:ascii="Cambria" w:eastAsia="Cambria" w:hAnsi="Cambria" w:cs="Cambria"/>
          <w:b/>
          <w:color w:val="000000"/>
        </w:rPr>
        <w:t xml:space="preserve"> </w:t>
      </w:r>
    </w:p>
    <w:p w14:paraId="6F8E7A9B" w14:textId="3135B502" w:rsidR="005B5FC2" w:rsidRDefault="005B5FC2" w:rsidP="00963410">
      <w:pPr>
        <w:pBdr>
          <w:top w:val="nil"/>
          <w:left w:val="nil"/>
          <w:bottom w:val="nil"/>
          <w:right w:val="nil"/>
          <w:between w:val="nil"/>
        </w:pBdr>
        <w:spacing w:after="120" w:line="240" w:lineRule="auto"/>
        <w:jc w:val="both"/>
        <w:rPr>
          <w:rFonts w:ascii="Cambria" w:eastAsia="Cambria" w:hAnsi="Cambria" w:cs="Cambria"/>
          <w:color w:val="000000"/>
        </w:rPr>
      </w:pPr>
      <w:r w:rsidRPr="005B5FC2">
        <w:rPr>
          <w:rFonts w:ascii="Cambria" w:eastAsia="Cambria" w:hAnsi="Cambria" w:cs="Cambria"/>
          <w:color w:val="000000"/>
        </w:rPr>
        <w:t>El Programa de Beca Universal para Estudiantes de Educación Media Superior Benito Juárez</w:t>
      </w:r>
      <w:r w:rsidR="006D6F58">
        <w:rPr>
          <w:rFonts w:ascii="Cambria" w:eastAsia="Cambria" w:hAnsi="Cambria" w:cs="Cambria"/>
          <w:color w:val="000000"/>
        </w:rPr>
        <w:t xml:space="preserve"> (S311)</w:t>
      </w:r>
      <w:r w:rsidRPr="005B5FC2">
        <w:rPr>
          <w:rFonts w:ascii="Cambria" w:eastAsia="Cambria" w:hAnsi="Cambria" w:cs="Cambria"/>
          <w:color w:val="000000"/>
        </w:rPr>
        <w:t xml:space="preserve"> busca fomentar que las y los alumnos inscritos en Instituciones de Educación Media Superior permanezcan y concluyan esta fase educativa, mediante el otorgamiento de una beca </w:t>
      </w:r>
      <w:r w:rsidRPr="005B5FC2">
        <w:rPr>
          <w:rFonts w:ascii="Cambria" w:eastAsia="Cambria" w:hAnsi="Cambria" w:cs="Cambria"/>
          <w:color w:val="000000"/>
        </w:rPr>
        <w:lastRenderedPageBreak/>
        <w:t>de $840.00 pesos mensuales a cada beneficiario. La intervención prioriza la atención de planteles educativos públicos ubicados en localidades indígenas, con menos de 50 habitantes y con alta o muy alta marginación, así como telebachilleratos.</w:t>
      </w:r>
    </w:p>
    <w:p w14:paraId="68133DF5" w14:textId="0BE9E9A0" w:rsidR="00CF49B9" w:rsidRDefault="00CF49B9" w:rsidP="00963410">
      <w:pPr>
        <w:pBdr>
          <w:top w:val="nil"/>
          <w:left w:val="nil"/>
          <w:bottom w:val="nil"/>
          <w:right w:val="nil"/>
          <w:between w:val="nil"/>
        </w:pBdr>
        <w:spacing w:after="120" w:line="240" w:lineRule="auto"/>
        <w:jc w:val="both"/>
        <w:rPr>
          <w:rFonts w:ascii="Cambria" w:eastAsia="Cambria" w:hAnsi="Cambria" w:cs="Cambria"/>
          <w:b/>
          <w:color w:val="000000"/>
        </w:rPr>
      </w:pPr>
      <w:r w:rsidRPr="002F2377">
        <w:rPr>
          <w:rFonts w:ascii="Cambria" w:eastAsia="Cambria" w:hAnsi="Cambria" w:cs="Cambria"/>
          <w:b/>
          <w:color w:val="000000"/>
        </w:rPr>
        <w:t>Principales hallazgos de la evaluación</w:t>
      </w:r>
      <w:r>
        <w:rPr>
          <w:rFonts w:ascii="Cambria" w:eastAsia="Cambria" w:hAnsi="Cambria" w:cs="Cambria"/>
          <w:b/>
          <w:color w:val="000000"/>
        </w:rPr>
        <w:t xml:space="preserve"> </w:t>
      </w:r>
    </w:p>
    <w:p w14:paraId="3D750D2C" w14:textId="1736C683" w:rsidR="005B5FC2" w:rsidRDefault="005B5FC2" w:rsidP="002F2377">
      <w:pPr>
        <w:pBdr>
          <w:top w:val="nil"/>
          <w:left w:val="nil"/>
          <w:bottom w:val="nil"/>
          <w:right w:val="nil"/>
          <w:between w:val="nil"/>
        </w:pBdr>
        <w:spacing w:after="120" w:line="240" w:lineRule="auto"/>
        <w:jc w:val="both"/>
        <w:rPr>
          <w:rFonts w:ascii="Cambria" w:eastAsia="Cambria" w:hAnsi="Cambria" w:cs="Cambria"/>
          <w:color w:val="000000"/>
        </w:rPr>
      </w:pPr>
      <w:r w:rsidRPr="005B5FC2">
        <w:rPr>
          <w:rFonts w:ascii="Cambria" w:eastAsia="Cambria" w:hAnsi="Cambria" w:cs="Cambria"/>
          <w:color w:val="000000"/>
        </w:rPr>
        <w:t xml:space="preserve">Se detectaron fortalezas en la gestión operativa, las cuales contribuyen a alcanzar el objetivo del Programa. Por un lado, la planeación es un proceso normado y estandarizado, que además se realiza para los tres programas prioritarios de becas educativas a cargo de la Coordinación Nacional de Becas para el Bienestar Benito Juárez </w:t>
      </w:r>
      <w:r>
        <w:rPr>
          <w:rFonts w:ascii="Cambria" w:eastAsia="Cambria" w:hAnsi="Cambria" w:cs="Cambria"/>
          <w:color w:val="000000"/>
        </w:rPr>
        <w:t>(</w:t>
      </w:r>
      <w:r w:rsidRPr="005B5FC2">
        <w:rPr>
          <w:rFonts w:ascii="Cambria" w:eastAsia="Cambria" w:hAnsi="Cambria" w:cs="Cambria"/>
          <w:color w:val="000000"/>
        </w:rPr>
        <w:t>CNBBBJ</w:t>
      </w:r>
      <w:r>
        <w:rPr>
          <w:rFonts w:ascii="Cambria" w:eastAsia="Cambria" w:hAnsi="Cambria" w:cs="Cambria"/>
          <w:color w:val="000000"/>
        </w:rPr>
        <w:t>)</w:t>
      </w:r>
      <w:r w:rsidRPr="005B5FC2">
        <w:rPr>
          <w:rFonts w:ascii="Cambria" w:eastAsia="Cambria" w:hAnsi="Cambria" w:cs="Cambria"/>
          <w:color w:val="000000"/>
        </w:rPr>
        <w:t>, lo que contribuye a su integración operativa. Por otro lado, la entrega de apoyos se asigna a través de la priorización de planteles y no de personas, lo que facilita la operación.</w:t>
      </w:r>
    </w:p>
    <w:p w14:paraId="06094DCB" w14:textId="2AA361EC" w:rsidR="00DB32FE" w:rsidRDefault="00AE0C51" w:rsidP="002F2377">
      <w:pPr>
        <w:pBdr>
          <w:top w:val="nil"/>
          <w:left w:val="nil"/>
          <w:bottom w:val="nil"/>
          <w:right w:val="nil"/>
          <w:between w:val="nil"/>
        </w:pBdr>
        <w:spacing w:after="120" w:line="240" w:lineRule="auto"/>
        <w:jc w:val="both"/>
        <w:rPr>
          <w:rFonts w:ascii="Cambria" w:eastAsia="Cambria" w:hAnsi="Cambria" w:cs="Cambria"/>
          <w:color w:val="000000"/>
        </w:rPr>
      </w:pPr>
      <w:r w:rsidRPr="005B5FC2">
        <w:rPr>
          <w:rFonts w:ascii="Cambria" w:eastAsia="Cambria" w:hAnsi="Cambria" w:cs="Cambria"/>
          <w:color w:val="000000"/>
        </w:rPr>
        <w:t>Sin embargo, también se identificaron áreas de oportunidad que es necesario fortalecer para contribuir a una mejor implementación del Programa.</w:t>
      </w:r>
      <w:r>
        <w:rPr>
          <w:rFonts w:ascii="Cambria" w:eastAsia="Cambria" w:hAnsi="Cambria" w:cs="Cambria"/>
          <w:color w:val="000000"/>
        </w:rPr>
        <w:t xml:space="preserve"> La</w:t>
      </w:r>
      <w:r w:rsidRPr="00AE0C51">
        <w:rPr>
          <w:rFonts w:ascii="Cambria" w:eastAsia="Cambria" w:hAnsi="Cambria" w:cs="Cambria"/>
          <w:color w:val="000000"/>
        </w:rPr>
        <w:t xml:space="preserve"> estructura operativa</w:t>
      </w:r>
      <w:r>
        <w:rPr>
          <w:rFonts w:ascii="Cambria" w:eastAsia="Cambria" w:hAnsi="Cambria" w:cs="Cambria"/>
          <w:color w:val="000000"/>
        </w:rPr>
        <w:t xml:space="preserve"> de la CNBBBJ</w:t>
      </w:r>
      <w:r w:rsidRPr="00AE0C51">
        <w:rPr>
          <w:rFonts w:ascii="Cambria" w:eastAsia="Cambria" w:hAnsi="Cambria" w:cs="Cambria"/>
          <w:color w:val="000000"/>
        </w:rPr>
        <w:t xml:space="preserve"> no ha sido aprobada</w:t>
      </w:r>
      <w:r w:rsidR="002714A8">
        <w:rPr>
          <w:rFonts w:ascii="Cambria" w:eastAsia="Cambria" w:hAnsi="Cambria" w:cs="Cambria"/>
          <w:color w:val="000000"/>
        </w:rPr>
        <w:t xml:space="preserve"> por la Secretaría de Hacienda y Crédito Público y la Secretaría de la Función Pública</w:t>
      </w:r>
      <w:r w:rsidRPr="00AE0C51">
        <w:rPr>
          <w:rFonts w:ascii="Cambria" w:eastAsia="Cambria" w:hAnsi="Cambria" w:cs="Cambria"/>
          <w:color w:val="000000"/>
        </w:rPr>
        <w:t>, lo que le impide contar con documentos normativos de sus procesos, así como de las funciones de todo su personal. Ante esta ausencia de una estructura operativa formal se ha implementado una estrategia para la operación del Programa en la que las ORE cuentan con personal que cumplen con funciones similares a las Direcciones Generales de las oficinas centrales: “figuras espejo”. Esta estrategia ha permitido disminuir los riesgos y cumplir con los objetivos del Programa, sin embargo, las actividades de las “figuras espejo” no están normadas o documentadas, al igual que las funciones de toda la estructura de la CNBBBJ.</w:t>
      </w:r>
    </w:p>
    <w:p w14:paraId="6DC81CA7" w14:textId="7A567FA9" w:rsidR="00DB32FE" w:rsidRDefault="00DB32FE" w:rsidP="002F2377">
      <w:pPr>
        <w:pBdr>
          <w:top w:val="nil"/>
          <w:left w:val="nil"/>
          <w:bottom w:val="nil"/>
          <w:right w:val="nil"/>
          <w:between w:val="nil"/>
        </w:pBdr>
        <w:spacing w:after="120" w:line="240" w:lineRule="auto"/>
        <w:jc w:val="both"/>
        <w:rPr>
          <w:rFonts w:ascii="Cambria" w:eastAsia="Cambria" w:hAnsi="Cambria" w:cs="Cambria"/>
          <w:color w:val="000000"/>
        </w:rPr>
      </w:pPr>
      <w:r w:rsidRPr="00DB32FE">
        <w:rPr>
          <w:rFonts w:ascii="Cambria" w:eastAsia="Cambria" w:hAnsi="Cambria" w:cs="Cambria"/>
          <w:color w:val="000000"/>
        </w:rPr>
        <w:t xml:space="preserve">El Programa permite a las y los alumnos, de manera individual, consultar su estatus de incorporación mediante el sitio web de la CNBBBJ a través de su Clave Única de Registro de Población (CURP). Sin embargo, esta información es limitada, pues el buscador </w:t>
      </w:r>
      <w:r w:rsidR="006465A7" w:rsidRPr="006465A7">
        <w:rPr>
          <w:rFonts w:ascii="Cambria" w:eastAsia="Cambria" w:hAnsi="Cambria" w:cs="Cambria"/>
          <w:color w:val="000000"/>
        </w:rPr>
        <w:t>no tiene información sobre los diversos motivos por los cuales los solicitantes no fueron considerados como becarios. Así, generalmente las y los estudiantes se enteran de que no son beneficiarios hasta el momento en que no reciben el pago de la beca.</w:t>
      </w:r>
    </w:p>
    <w:p w14:paraId="6DAB4D95" w14:textId="506DFB97" w:rsidR="00DB32FE" w:rsidRPr="00DB32FE" w:rsidRDefault="00DB32FE" w:rsidP="00DB32FE">
      <w:pPr>
        <w:pBdr>
          <w:top w:val="nil"/>
          <w:left w:val="nil"/>
          <w:bottom w:val="nil"/>
          <w:right w:val="nil"/>
          <w:between w:val="nil"/>
        </w:pBdr>
        <w:spacing w:after="120" w:line="240" w:lineRule="auto"/>
        <w:jc w:val="both"/>
        <w:rPr>
          <w:rFonts w:ascii="Cambria" w:eastAsia="Cambria" w:hAnsi="Cambria" w:cs="Cambria"/>
          <w:color w:val="000000"/>
        </w:rPr>
      </w:pPr>
      <w:r w:rsidRPr="00DB32FE">
        <w:rPr>
          <w:rFonts w:ascii="Cambria" w:eastAsia="Cambria" w:hAnsi="Cambria" w:cs="Cambria"/>
          <w:color w:val="000000"/>
        </w:rPr>
        <w:t xml:space="preserve">El pago de la beca se hace de manera bimestral a través de tres mecanismos: a) mediante una cuenta de Banco Azteca y una aplicación electrónica que genera un código QR para realizar el cobro en una sucursal de dicho banco, b) mediante la entrega de la beca en efectivo por parte del Banco del Bienestar en Mesas de Atención Temporal (MAT) en localidades con poca conectividad y, c) mediante la entrega en MAT de giros telegráficos/Órdenes de Pago (ODP) para realizar el cobro en oficinas de Telecomunicaciones de México (TELECOMM). Se observó que las MAT se realizan </w:t>
      </w:r>
      <w:r w:rsidR="006E6645">
        <w:rPr>
          <w:rFonts w:ascii="Cambria" w:eastAsia="Cambria" w:hAnsi="Cambria" w:cs="Cambria"/>
          <w:color w:val="000000"/>
        </w:rPr>
        <w:t>de manera simultánea para los becarios de este programa y</w:t>
      </w:r>
      <w:r w:rsidR="006E6645" w:rsidRPr="00DB32FE">
        <w:rPr>
          <w:rFonts w:ascii="Cambria" w:eastAsia="Cambria" w:hAnsi="Cambria" w:cs="Cambria"/>
          <w:color w:val="000000"/>
        </w:rPr>
        <w:t xml:space="preserve"> </w:t>
      </w:r>
      <w:r w:rsidRPr="00DB32FE">
        <w:rPr>
          <w:rFonts w:ascii="Cambria" w:eastAsia="Cambria" w:hAnsi="Cambria" w:cs="Cambria"/>
          <w:color w:val="000000"/>
        </w:rPr>
        <w:t>para beneficiarios del Programa de Becas de Educación Básica para el Bienestar Benito Juárez, lo que genera que las y los estudiantes de Educación Media Superior, en algunas ocasiones, esperen entre 6 y 8 horas para cobrar su beca.</w:t>
      </w:r>
    </w:p>
    <w:p w14:paraId="248BD2F1" w14:textId="2F899148" w:rsidR="00614444" w:rsidRDefault="00614444" w:rsidP="00614444">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Principales recomendaciones de la evaluación</w:t>
      </w:r>
    </w:p>
    <w:p w14:paraId="4E41FF0F" w14:textId="16727FE3" w:rsidR="00830C9B" w:rsidRDefault="006465A7" w:rsidP="00830C9B">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S</w:t>
      </w:r>
      <w:r w:rsidRPr="006465A7">
        <w:rPr>
          <w:rFonts w:ascii="Cambria" w:eastAsia="Cambria" w:hAnsi="Cambria" w:cs="Cambria"/>
          <w:color w:val="000000"/>
        </w:rPr>
        <w:t>e recomienda ampliar la información disponible para las y los becarios e incorporarla en la herramienta del buscador web, para que una persona pueda, además de conocer las razones de exclusión, tener acceso a vías de solución o a información con respecto a los procesos que debe llevar a cabo para que pueda reintegrarse o integrarse por primera vez al padrón.</w:t>
      </w:r>
      <w:r>
        <w:rPr>
          <w:rFonts w:ascii="Cambria" w:eastAsia="Cambria" w:hAnsi="Cambria" w:cs="Cambria"/>
          <w:color w:val="000000"/>
        </w:rPr>
        <w:t xml:space="preserve"> </w:t>
      </w:r>
      <w:r w:rsidR="00830C9B" w:rsidRPr="00830C9B">
        <w:rPr>
          <w:rFonts w:ascii="Cambria" w:eastAsia="Cambria" w:hAnsi="Cambria" w:cs="Cambria"/>
          <w:color w:val="000000"/>
        </w:rPr>
        <w:t xml:space="preserve">Para la organización de las MAT se sugiere citar a las personas beneficiarias en diferentes horarios de acuerdo con el </w:t>
      </w:r>
      <w:r w:rsidR="00830C9B">
        <w:rPr>
          <w:rFonts w:ascii="Cambria" w:eastAsia="Cambria" w:hAnsi="Cambria" w:cs="Cambria"/>
          <w:color w:val="000000"/>
        </w:rPr>
        <w:t>P</w:t>
      </w:r>
      <w:r w:rsidR="00830C9B" w:rsidRPr="00830C9B">
        <w:rPr>
          <w:rFonts w:ascii="Cambria" w:eastAsia="Cambria" w:hAnsi="Cambria" w:cs="Cambria"/>
          <w:color w:val="000000"/>
        </w:rPr>
        <w:t>rograma.</w:t>
      </w:r>
    </w:p>
    <w:p w14:paraId="551D47A7" w14:textId="004F5B60" w:rsidR="00614444"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 xml:space="preserve">Recomendaciones para el proceso de programación y presupuestación </w:t>
      </w:r>
    </w:p>
    <w:p w14:paraId="4AA5375B" w14:textId="272C3045" w:rsidR="00AE0C51" w:rsidRDefault="004B7270" w:rsidP="00BB3E2B">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lastRenderedPageBreak/>
        <w:t>Es</w:t>
      </w:r>
      <w:r w:rsidRPr="00C522E5">
        <w:rPr>
          <w:rFonts w:ascii="Cambria" w:eastAsia="Cambria" w:hAnsi="Cambria" w:cs="Cambria"/>
          <w:color w:val="000000"/>
        </w:rPr>
        <w:t xml:space="preserve"> fundamental otorgar a la CNBBBJ el andamiaje institucional necesario para una operación sólida y transparente mediante la autorización de su estructura organizaciona</w:t>
      </w:r>
      <w:r>
        <w:rPr>
          <w:rFonts w:ascii="Cambria" w:eastAsia="Cambria" w:hAnsi="Cambria" w:cs="Cambria"/>
          <w:color w:val="000000"/>
        </w:rPr>
        <w:t xml:space="preserve">l. Además, </w:t>
      </w:r>
      <w:r w:rsidR="00D72F7D">
        <w:rPr>
          <w:rFonts w:ascii="Cambria" w:eastAsia="Cambria" w:hAnsi="Cambria" w:cs="Cambria"/>
          <w:color w:val="000000"/>
        </w:rPr>
        <w:t>e</w:t>
      </w:r>
      <w:r w:rsidR="00AE0C51">
        <w:rPr>
          <w:rFonts w:ascii="Cambria" w:eastAsia="Cambria" w:hAnsi="Cambria" w:cs="Cambria"/>
          <w:color w:val="000000"/>
        </w:rPr>
        <w:t>s</w:t>
      </w:r>
      <w:r w:rsidR="00AE0C51" w:rsidRPr="00AE0C51">
        <w:rPr>
          <w:rFonts w:ascii="Cambria" w:eastAsia="Cambria" w:hAnsi="Cambria" w:cs="Cambria"/>
          <w:color w:val="000000"/>
        </w:rPr>
        <w:t xml:space="preserve"> necesario elaborar un Manual o documentos de procedimientos que establezcan las funciones de los enlaces “espejo” de la CNBBBJ en las ORE y que estos documentos se difundan en las entidades federativas. Lo anterior con el fin de brindar certeza a la operación del Programa.</w:t>
      </w:r>
    </w:p>
    <w:p w14:paraId="1A075967" w14:textId="735C3D5D" w:rsidR="00F15BE8" w:rsidRDefault="00F15BE8" w:rsidP="00F15BE8">
      <w:pPr>
        <w:pBdr>
          <w:top w:val="nil"/>
          <w:left w:val="nil"/>
          <w:bottom w:val="nil"/>
          <w:right w:val="nil"/>
          <w:between w:val="nil"/>
        </w:pBdr>
        <w:spacing w:after="120" w:line="240" w:lineRule="auto"/>
        <w:jc w:val="both"/>
        <w:rPr>
          <w:rFonts w:ascii="Cambria" w:eastAsia="Cambria" w:hAnsi="Cambria" w:cs="Cambria"/>
          <w:color w:val="000000"/>
        </w:rPr>
      </w:pPr>
    </w:p>
    <w:p w14:paraId="2C455B77" w14:textId="77777777" w:rsidR="00614444" w:rsidRDefault="00614444" w:rsidP="00614444">
      <w:pPr>
        <w:pBdr>
          <w:top w:val="nil"/>
          <w:left w:val="nil"/>
          <w:bottom w:val="nil"/>
          <w:right w:val="nil"/>
          <w:between w:val="nil"/>
        </w:pBdr>
        <w:shd w:val="clear" w:color="auto" w:fill="D9D9D9"/>
        <w:spacing w:after="120" w:line="240" w:lineRule="auto"/>
        <w:jc w:val="both"/>
        <w:rPr>
          <w:rFonts w:ascii="Cambria" w:eastAsia="Cambria" w:hAnsi="Cambria" w:cs="Cambria"/>
          <w:b/>
          <w:i/>
          <w:color w:val="000000"/>
          <w:sz w:val="20"/>
          <w:szCs w:val="20"/>
        </w:rPr>
      </w:pPr>
      <w:r>
        <w:rPr>
          <w:rFonts w:ascii="Cambria" w:eastAsia="Cambria" w:hAnsi="Cambria" w:cs="Cambria"/>
          <w:b/>
          <w:i/>
          <w:color w:val="000000"/>
        </w:rPr>
        <w:t>Notas:</w:t>
      </w:r>
    </w:p>
    <w:p w14:paraId="7BD2A291"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deberá ser enviado a la UED y al Consejo, de conformidad con lo establecido en los numerales </w:t>
      </w:r>
      <w:r w:rsidRPr="00F41741">
        <w:rPr>
          <w:rFonts w:ascii="Cambria" w:hAnsi="Cambria"/>
          <w:i/>
          <w:color w:val="000000"/>
          <w:sz w:val="20"/>
        </w:rPr>
        <w:t>34 y 3</w:t>
      </w:r>
      <w:r w:rsidRPr="003F32CC">
        <w:rPr>
          <w:rFonts w:ascii="Cambria" w:hAnsi="Cambria"/>
          <w:i/>
          <w:color w:val="000000"/>
          <w:sz w:val="20"/>
        </w:rPr>
        <w:t>5</w:t>
      </w:r>
      <w:r>
        <w:rPr>
          <w:rFonts w:ascii="Cambria" w:eastAsia="Cambria" w:hAnsi="Cambria" w:cs="Cambria"/>
          <w:i/>
          <w:color w:val="000000"/>
          <w:sz w:val="20"/>
          <w:szCs w:val="20"/>
        </w:rPr>
        <w:t xml:space="preserve"> de este PAE, junto con el informe final de la evaluación.</w:t>
      </w:r>
    </w:p>
    <w:p w14:paraId="5AB399AC"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contiene la información señalada en el numeral Vigésimo Octavo de los Lineamientos Generales para la Evaluación de los Programas Federales de la Administración Pública Federal, con excepción de los incisos V, VI y VII. </w:t>
      </w:r>
    </w:p>
    <w:p w14:paraId="371B4536"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 El FARE constituye el principal insumo para integrar el informe trimestral al que hace referencia el artículo 107, fracción I, de la Ley Federal de Presupuesto y Responsabilidad Hacendaria (LFPRH).  </w:t>
      </w:r>
    </w:p>
    <w:p w14:paraId="2C3AE769"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El FARE constituye uno de los principales insumos para la integración del repositorio de evaluaciones que señala el artículo 303 Bis del Reglamento de la LFPRH.</w:t>
      </w:r>
    </w:p>
    <w:p w14:paraId="55A48B96" w14:textId="77777777" w:rsidR="00614444" w:rsidRDefault="00614444"/>
    <w:sectPr w:rsidR="00614444" w:rsidSect="000A3C98">
      <w:headerReference w:type="default" r:id="rId7"/>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C90EC" w14:textId="77777777" w:rsidR="006F39B6" w:rsidRDefault="006F39B6" w:rsidP="00CF49B9">
      <w:pPr>
        <w:spacing w:after="0" w:line="240" w:lineRule="auto"/>
      </w:pPr>
      <w:r>
        <w:separator/>
      </w:r>
    </w:p>
  </w:endnote>
  <w:endnote w:type="continuationSeparator" w:id="0">
    <w:p w14:paraId="360984AA" w14:textId="77777777" w:rsidR="006F39B6" w:rsidRDefault="006F39B6" w:rsidP="00CF4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w:altName w:val="Calibri"/>
    <w:panose1 w:val="00000000000000000000"/>
    <w:charset w:val="00"/>
    <w:family w:val="modern"/>
    <w:notTrueType/>
    <w:pitch w:val="variable"/>
    <w:sig w:usb0="800000AF" w:usb1="4000204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E3953" w14:textId="77777777" w:rsidR="006F39B6" w:rsidRDefault="006F39B6" w:rsidP="00CF49B9">
      <w:pPr>
        <w:spacing w:after="0" w:line="240" w:lineRule="auto"/>
      </w:pPr>
      <w:r>
        <w:separator/>
      </w:r>
    </w:p>
  </w:footnote>
  <w:footnote w:type="continuationSeparator" w:id="0">
    <w:p w14:paraId="36945FDF" w14:textId="77777777" w:rsidR="006F39B6" w:rsidRDefault="006F39B6" w:rsidP="00CF4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9FA1" w14:textId="0B87D5DC" w:rsidR="00CF49B9" w:rsidRDefault="00CF49B9">
    <w:pPr>
      <w:pStyle w:val="Encabezado"/>
    </w:pPr>
    <w:r>
      <w:rPr>
        <w:noProof/>
      </w:rPr>
      <w:drawing>
        <wp:anchor distT="0" distB="0" distL="114300" distR="114300" simplePos="0" relativeHeight="251660288" behindDoc="0" locked="0" layoutInCell="1" hidden="0" allowOverlap="1" wp14:anchorId="25677BA9" wp14:editId="5B563B80">
          <wp:simplePos x="0" y="0"/>
          <wp:positionH relativeFrom="column">
            <wp:posOffset>4453255</wp:posOffset>
          </wp:positionH>
          <wp:positionV relativeFrom="paragraph">
            <wp:posOffset>-53018</wp:posOffset>
          </wp:positionV>
          <wp:extent cx="1168400" cy="444500"/>
          <wp:effectExtent l="0" t="0" r="0" b="0"/>
          <wp:wrapNone/>
          <wp:docPr id="7" name="image2.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31" name="image2.png" descr="Imagen que contiene Texto&#10;&#10;Descripción generada automáticamente"/>
                  <pic:cNvPicPr preferRelativeResize="0"/>
                </pic:nvPicPr>
                <pic:blipFill>
                  <a:blip r:embed="rId1"/>
                  <a:srcRect/>
                  <a:stretch>
                    <a:fillRect/>
                  </a:stretch>
                </pic:blipFill>
                <pic:spPr>
                  <a:xfrm>
                    <a:off x="0" y="0"/>
                    <a:ext cx="1168400" cy="444500"/>
                  </a:xfrm>
                  <a:prstGeom prst="rect">
                    <a:avLst/>
                  </a:prstGeom>
                  <a:ln/>
                </pic:spPr>
              </pic:pic>
            </a:graphicData>
          </a:graphic>
        </wp:anchor>
      </w:drawing>
    </w:r>
    <w:r>
      <w:rPr>
        <w:noProof/>
        <w:color w:val="000000"/>
      </w:rPr>
      <w:drawing>
        <wp:anchor distT="0" distB="0" distL="114300" distR="114300" simplePos="0" relativeHeight="251658240" behindDoc="1" locked="0" layoutInCell="1" allowOverlap="1" wp14:anchorId="1A44E853" wp14:editId="1C52C1C3">
          <wp:simplePos x="0" y="0"/>
          <wp:positionH relativeFrom="column">
            <wp:posOffset>3175</wp:posOffset>
          </wp:positionH>
          <wp:positionV relativeFrom="paragraph">
            <wp:posOffset>-23078</wp:posOffset>
          </wp:positionV>
          <wp:extent cx="2304415" cy="494030"/>
          <wp:effectExtent l="0" t="0" r="635" b="1270"/>
          <wp:wrapTight wrapText="bothSides">
            <wp:wrapPolygon edited="0">
              <wp:start x="1071" y="0"/>
              <wp:lineTo x="0" y="3332"/>
              <wp:lineTo x="0" y="19990"/>
              <wp:lineTo x="1428" y="20823"/>
              <wp:lineTo x="3214" y="20823"/>
              <wp:lineTo x="21427" y="18324"/>
              <wp:lineTo x="21427" y="14159"/>
              <wp:lineTo x="20713" y="13326"/>
              <wp:lineTo x="20713" y="2499"/>
              <wp:lineTo x="3036" y="0"/>
              <wp:lineTo x="1071" y="0"/>
            </wp:wrapPolygon>
          </wp:wrapTight>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magen que contiene Text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4415" cy="4940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641F6"/>
    <w:multiLevelType w:val="multilevel"/>
    <w:tmpl w:val="67D23DE2"/>
    <w:lvl w:ilvl="0">
      <w:start w:val="1"/>
      <w:numFmt w:val="bullet"/>
      <w:lvlText w:val="•"/>
      <w:lvlJc w:val="left"/>
      <w:pPr>
        <w:ind w:left="1413" w:hanging="704"/>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B8B15FA"/>
    <w:multiLevelType w:val="hybridMultilevel"/>
    <w:tmpl w:val="C0F88DAA"/>
    <w:lvl w:ilvl="0" w:tplc="F43686E2">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791704569">
    <w:abstractNumId w:val="0"/>
  </w:num>
  <w:num w:numId="2" w16cid:durableId="523521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B9"/>
    <w:rsid w:val="00012869"/>
    <w:rsid w:val="000851E3"/>
    <w:rsid w:val="000A3C98"/>
    <w:rsid w:val="000D7E44"/>
    <w:rsid w:val="00127233"/>
    <w:rsid w:val="001B4A34"/>
    <w:rsid w:val="002714A8"/>
    <w:rsid w:val="002F2377"/>
    <w:rsid w:val="00314B51"/>
    <w:rsid w:val="003C7571"/>
    <w:rsid w:val="003F2EAB"/>
    <w:rsid w:val="00457862"/>
    <w:rsid w:val="004B7270"/>
    <w:rsid w:val="00503D22"/>
    <w:rsid w:val="00532438"/>
    <w:rsid w:val="00534812"/>
    <w:rsid w:val="00547A90"/>
    <w:rsid w:val="00550043"/>
    <w:rsid w:val="005717C8"/>
    <w:rsid w:val="005B5FC2"/>
    <w:rsid w:val="005D623F"/>
    <w:rsid w:val="005E0E62"/>
    <w:rsid w:val="005E15DD"/>
    <w:rsid w:val="005E5530"/>
    <w:rsid w:val="005E6825"/>
    <w:rsid w:val="005E7C8F"/>
    <w:rsid w:val="00614444"/>
    <w:rsid w:val="006465A7"/>
    <w:rsid w:val="006963BD"/>
    <w:rsid w:val="006D6F58"/>
    <w:rsid w:val="006E6645"/>
    <w:rsid w:val="006F39B6"/>
    <w:rsid w:val="00720D89"/>
    <w:rsid w:val="00770106"/>
    <w:rsid w:val="00786C38"/>
    <w:rsid w:val="007954FF"/>
    <w:rsid w:val="00820861"/>
    <w:rsid w:val="00830C9B"/>
    <w:rsid w:val="00846880"/>
    <w:rsid w:val="00856DF8"/>
    <w:rsid w:val="00875A45"/>
    <w:rsid w:val="0088018A"/>
    <w:rsid w:val="0088742F"/>
    <w:rsid w:val="008B67B6"/>
    <w:rsid w:val="008F1E0B"/>
    <w:rsid w:val="008F400E"/>
    <w:rsid w:val="00957475"/>
    <w:rsid w:val="00963410"/>
    <w:rsid w:val="00997DDD"/>
    <w:rsid w:val="009B2382"/>
    <w:rsid w:val="009F2133"/>
    <w:rsid w:val="00A24A2F"/>
    <w:rsid w:val="00A549BD"/>
    <w:rsid w:val="00A6651F"/>
    <w:rsid w:val="00A86DC3"/>
    <w:rsid w:val="00A962D4"/>
    <w:rsid w:val="00AE0C51"/>
    <w:rsid w:val="00B041D2"/>
    <w:rsid w:val="00B23A0A"/>
    <w:rsid w:val="00B42149"/>
    <w:rsid w:val="00B42C5C"/>
    <w:rsid w:val="00B601B7"/>
    <w:rsid w:val="00B7670E"/>
    <w:rsid w:val="00B81ADE"/>
    <w:rsid w:val="00B9650F"/>
    <w:rsid w:val="00BB3E2B"/>
    <w:rsid w:val="00BC3954"/>
    <w:rsid w:val="00C16422"/>
    <w:rsid w:val="00C82D4C"/>
    <w:rsid w:val="00CF49B9"/>
    <w:rsid w:val="00D72F7D"/>
    <w:rsid w:val="00D94126"/>
    <w:rsid w:val="00DB32FE"/>
    <w:rsid w:val="00DE6900"/>
    <w:rsid w:val="00DF5BC5"/>
    <w:rsid w:val="00E56094"/>
    <w:rsid w:val="00E7464F"/>
    <w:rsid w:val="00E8550D"/>
    <w:rsid w:val="00EA0137"/>
    <w:rsid w:val="00EA21DB"/>
    <w:rsid w:val="00F1177E"/>
    <w:rsid w:val="00F15BE8"/>
    <w:rsid w:val="00F35CD6"/>
    <w:rsid w:val="00F55A67"/>
    <w:rsid w:val="00FA45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BBA93"/>
  <w15:chartTrackingRefBased/>
  <w15:docId w15:val="{EBCB0C9D-83AA-4872-A96E-B5756B19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F49B9"/>
    <w:pPr>
      <w:spacing w:after="200" w:line="276" w:lineRule="auto"/>
    </w:pPr>
    <w:rPr>
      <w:rFonts w:ascii="Calibri" w:eastAsia="Calibri" w:hAnsi="Calibri" w:cs="Calibri"/>
      <w:lang w:eastAsia="es-MX"/>
    </w:rPr>
  </w:style>
  <w:style w:type="paragraph" w:styleId="Ttulo2">
    <w:name w:val="heading 2"/>
    <w:basedOn w:val="Normal"/>
    <w:next w:val="Normal"/>
    <w:link w:val="Ttulo2Car"/>
    <w:rsid w:val="00CF49B9"/>
    <w:pPr>
      <w:keepNext/>
      <w:keepLines/>
      <w:spacing w:before="40" w:after="0"/>
      <w:jc w:val="center"/>
      <w:outlineLvl w:val="1"/>
    </w:pPr>
    <w:rPr>
      <w:rFonts w:ascii="Cambria" w:eastAsia="Cambria" w:hAnsi="Cambria" w:cs="Cambria"/>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CF49B9"/>
    <w:rPr>
      <w:rFonts w:ascii="Cambria" w:eastAsia="Cambria" w:hAnsi="Cambria" w:cs="Cambria"/>
      <w:b/>
      <w:i/>
      <w:lang w:eastAsia="es-MX"/>
    </w:rPr>
  </w:style>
  <w:style w:type="table" w:customStyle="1" w:styleId="1">
    <w:name w:val="1"/>
    <w:basedOn w:val="Tablanormal"/>
    <w:rsid w:val="00CF49B9"/>
    <w:pPr>
      <w:spacing w:after="200" w:line="276" w:lineRule="auto"/>
    </w:pPr>
    <w:rPr>
      <w:rFonts w:ascii="Calibri" w:eastAsia="Calibri" w:hAnsi="Calibri" w:cs="Calibri"/>
      <w:lang w:eastAsia="es-MX"/>
    </w:rPr>
    <w:tblPr>
      <w:tblStyleRowBandSize w:val="1"/>
      <w:tblStyleColBandSize w:val="1"/>
      <w:tblInd w:w="0" w:type="nil"/>
      <w:tblCellMar>
        <w:left w:w="115" w:type="dxa"/>
        <w:right w:w="115" w:type="dxa"/>
      </w:tblCellMar>
    </w:tblPr>
  </w:style>
  <w:style w:type="paragraph" w:styleId="Encabezado">
    <w:name w:val="header"/>
    <w:basedOn w:val="Normal"/>
    <w:link w:val="EncabezadoCar"/>
    <w:uiPriority w:val="99"/>
    <w:unhideWhenUsed/>
    <w:rsid w:val="00CF49B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49B9"/>
    <w:rPr>
      <w:rFonts w:ascii="Calibri" w:eastAsia="Calibri" w:hAnsi="Calibri" w:cs="Calibri"/>
      <w:lang w:eastAsia="es-MX"/>
    </w:rPr>
  </w:style>
  <w:style w:type="paragraph" w:styleId="Piedepgina">
    <w:name w:val="footer"/>
    <w:basedOn w:val="Normal"/>
    <w:link w:val="PiedepginaCar"/>
    <w:uiPriority w:val="99"/>
    <w:unhideWhenUsed/>
    <w:rsid w:val="00CF49B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49B9"/>
    <w:rPr>
      <w:rFonts w:ascii="Calibri" w:eastAsia="Calibri" w:hAnsi="Calibri" w:cs="Calibri"/>
      <w:lang w:eastAsia="es-MX"/>
    </w:rPr>
  </w:style>
  <w:style w:type="paragraph" w:customStyle="1" w:styleId="Default">
    <w:name w:val="Default"/>
    <w:rsid w:val="008F400E"/>
    <w:pPr>
      <w:autoSpaceDE w:val="0"/>
      <w:autoSpaceDN w:val="0"/>
      <w:adjustRightInd w:val="0"/>
      <w:spacing w:after="0" w:line="240" w:lineRule="auto"/>
    </w:pPr>
    <w:rPr>
      <w:rFonts w:ascii="Montserrat" w:hAnsi="Montserrat" w:cs="Montserrat"/>
      <w:color w:val="000000"/>
      <w:sz w:val="24"/>
      <w:szCs w:val="24"/>
    </w:rPr>
  </w:style>
  <w:style w:type="paragraph" w:styleId="Prrafodelista">
    <w:name w:val="List Paragraph"/>
    <w:aliases w:val="Párrafo Título 3,List Paragraph-Thesis,4 Párrafo de lista,Figuras,Dot pt,No Spacing1,List Paragraph Char Char Char,Indicator Text,List Paragraph1,Numbered Para 1,DH1,lp1,Listas,Light Grid - Accent 31,Lista vistosa - Énfasis 11"/>
    <w:link w:val="PrrafodelistaCar"/>
    <w:uiPriority w:val="1"/>
    <w:qFormat/>
    <w:rsid w:val="00DB32FE"/>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s-ES_tradnl" w:eastAsia="es-MX"/>
    </w:rPr>
  </w:style>
  <w:style w:type="character" w:customStyle="1" w:styleId="PrrafodelistaCar">
    <w:name w:val="Párrafo de lista Car"/>
    <w:aliases w:val="Párrafo Título 3 Car,List Paragraph-Thesis Car,4 Párrafo de lista Car,Figuras Car,Dot pt Car,No Spacing1 Car,List Paragraph Char Char Char Car,Indicator Text Car,List Paragraph1 Car,Numbered Para 1 Car,DH1 Car,lp1 Car,Listas Car"/>
    <w:link w:val="Prrafodelista"/>
    <w:uiPriority w:val="1"/>
    <w:qFormat/>
    <w:locked/>
    <w:rsid w:val="00DB32FE"/>
    <w:rPr>
      <w:rFonts w:ascii="Calibri" w:eastAsia="Calibri" w:hAnsi="Calibri" w:cs="Calibri"/>
      <w:color w:val="000000"/>
      <w:u w:color="000000"/>
      <w:bdr w:val="nil"/>
      <w:lang w:val="es-ES_tradnl" w:eastAsia="es-MX"/>
    </w:rPr>
  </w:style>
  <w:style w:type="paragraph" w:styleId="Revisin">
    <w:name w:val="Revision"/>
    <w:hidden/>
    <w:uiPriority w:val="99"/>
    <w:semiHidden/>
    <w:rsid w:val="006E6645"/>
    <w:pPr>
      <w:spacing w:after="0" w:line="240" w:lineRule="auto"/>
    </w:pPr>
    <w:rPr>
      <w:rFonts w:ascii="Calibri" w:eastAsia="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70668">
      <w:bodyDiv w:val="1"/>
      <w:marLeft w:val="0"/>
      <w:marRight w:val="0"/>
      <w:marTop w:val="0"/>
      <w:marBottom w:val="0"/>
      <w:divBdr>
        <w:top w:val="none" w:sz="0" w:space="0" w:color="auto"/>
        <w:left w:val="none" w:sz="0" w:space="0" w:color="auto"/>
        <w:bottom w:val="none" w:sz="0" w:space="0" w:color="auto"/>
        <w:right w:val="none" w:sz="0" w:space="0" w:color="auto"/>
      </w:divBdr>
    </w:div>
    <w:div w:id="128548238">
      <w:bodyDiv w:val="1"/>
      <w:marLeft w:val="0"/>
      <w:marRight w:val="0"/>
      <w:marTop w:val="0"/>
      <w:marBottom w:val="0"/>
      <w:divBdr>
        <w:top w:val="none" w:sz="0" w:space="0" w:color="auto"/>
        <w:left w:val="none" w:sz="0" w:space="0" w:color="auto"/>
        <w:bottom w:val="none" w:sz="0" w:space="0" w:color="auto"/>
        <w:right w:val="none" w:sz="0" w:space="0" w:color="auto"/>
      </w:divBdr>
    </w:div>
    <w:div w:id="256520052">
      <w:bodyDiv w:val="1"/>
      <w:marLeft w:val="0"/>
      <w:marRight w:val="0"/>
      <w:marTop w:val="0"/>
      <w:marBottom w:val="0"/>
      <w:divBdr>
        <w:top w:val="none" w:sz="0" w:space="0" w:color="auto"/>
        <w:left w:val="none" w:sz="0" w:space="0" w:color="auto"/>
        <w:bottom w:val="none" w:sz="0" w:space="0" w:color="auto"/>
        <w:right w:val="none" w:sz="0" w:space="0" w:color="auto"/>
      </w:divBdr>
    </w:div>
    <w:div w:id="293608222">
      <w:bodyDiv w:val="1"/>
      <w:marLeft w:val="0"/>
      <w:marRight w:val="0"/>
      <w:marTop w:val="0"/>
      <w:marBottom w:val="0"/>
      <w:divBdr>
        <w:top w:val="none" w:sz="0" w:space="0" w:color="auto"/>
        <w:left w:val="none" w:sz="0" w:space="0" w:color="auto"/>
        <w:bottom w:val="none" w:sz="0" w:space="0" w:color="auto"/>
        <w:right w:val="none" w:sz="0" w:space="0" w:color="auto"/>
      </w:divBdr>
    </w:div>
    <w:div w:id="366832201">
      <w:bodyDiv w:val="1"/>
      <w:marLeft w:val="0"/>
      <w:marRight w:val="0"/>
      <w:marTop w:val="0"/>
      <w:marBottom w:val="0"/>
      <w:divBdr>
        <w:top w:val="none" w:sz="0" w:space="0" w:color="auto"/>
        <w:left w:val="none" w:sz="0" w:space="0" w:color="auto"/>
        <w:bottom w:val="none" w:sz="0" w:space="0" w:color="auto"/>
        <w:right w:val="none" w:sz="0" w:space="0" w:color="auto"/>
      </w:divBdr>
    </w:div>
    <w:div w:id="700983836">
      <w:bodyDiv w:val="1"/>
      <w:marLeft w:val="0"/>
      <w:marRight w:val="0"/>
      <w:marTop w:val="0"/>
      <w:marBottom w:val="0"/>
      <w:divBdr>
        <w:top w:val="none" w:sz="0" w:space="0" w:color="auto"/>
        <w:left w:val="none" w:sz="0" w:space="0" w:color="auto"/>
        <w:bottom w:val="none" w:sz="0" w:space="0" w:color="auto"/>
        <w:right w:val="none" w:sz="0" w:space="0" w:color="auto"/>
      </w:divBdr>
    </w:div>
    <w:div w:id="778918494">
      <w:bodyDiv w:val="1"/>
      <w:marLeft w:val="0"/>
      <w:marRight w:val="0"/>
      <w:marTop w:val="0"/>
      <w:marBottom w:val="0"/>
      <w:divBdr>
        <w:top w:val="none" w:sz="0" w:space="0" w:color="auto"/>
        <w:left w:val="none" w:sz="0" w:space="0" w:color="auto"/>
        <w:bottom w:val="none" w:sz="0" w:space="0" w:color="auto"/>
        <w:right w:val="none" w:sz="0" w:space="0" w:color="auto"/>
      </w:divBdr>
    </w:div>
    <w:div w:id="905644933">
      <w:bodyDiv w:val="1"/>
      <w:marLeft w:val="0"/>
      <w:marRight w:val="0"/>
      <w:marTop w:val="0"/>
      <w:marBottom w:val="0"/>
      <w:divBdr>
        <w:top w:val="none" w:sz="0" w:space="0" w:color="auto"/>
        <w:left w:val="none" w:sz="0" w:space="0" w:color="auto"/>
        <w:bottom w:val="none" w:sz="0" w:space="0" w:color="auto"/>
        <w:right w:val="none" w:sz="0" w:space="0" w:color="auto"/>
      </w:divBdr>
    </w:div>
    <w:div w:id="956370191">
      <w:bodyDiv w:val="1"/>
      <w:marLeft w:val="0"/>
      <w:marRight w:val="0"/>
      <w:marTop w:val="0"/>
      <w:marBottom w:val="0"/>
      <w:divBdr>
        <w:top w:val="none" w:sz="0" w:space="0" w:color="auto"/>
        <w:left w:val="none" w:sz="0" w:space="0" w:color="auto"/>
        <w:bottom w:val="none" w:sz="0" w:space="0" w:color="auto"/>
        <w:right w:val="none" w:sz="0" w:space="0" w:color="auto"/>
      </w:divBdr>
    </w:div>
    <w:div w:id="1024358135">
      <w:bodyDiv w:val="1"/>
      <w:marLeft w:val="0"/>
      <w:marRight w:val="0"/>
      <w:marTop w:val="0"/>
      <w:marBottom w:val="0"/>
      <w:divBdr>
        <w:top w:val="none" w:sz="0" w:space="0" w:color="auto"/>
        <w:left w:val="none" w:sz="0" w:space="0" w:color="auto"/>
        <w:bottom w:val="none" w:sz="0" w:space="0" w:color="auto"/>
        <w:right w:val="none" w:sz="0" w:space="0" w:color="auto"/>
      </w:divBdr>
    </w:div>
    <w:div w:id="172428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1113</Words>
  <Characters>6127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 J.V.</dc:creator>
  <cp:keywords/>
  <dc:description/>
  <cp:lastModifiedBy>Carolina Maldonado Carreño</cp:lastModifiedBy>
  <cp:revision>4</cp:revision>
  <dcterms:created xsi:type="dcterms:W3CDTF">2023-01-13T00:45:00Z</dcterms:created>
  <dcterms:modified xsi:type="dcterms:W3CDTF">2023-01-13T00:47:00Z</dcterms:modified>
</cp:coreProperties>
</file>